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 Title</w:t>
      </w:r>
      <w:r>
        <w:rPr>
          <w:rFonts w:ascii="Times New Roman" w:eastAsia="Times New Roman" w:hAnsi="Times New Roman" w:cs="Times New Roman"/>
          <w:sz w:val="24"/>
          <w:szCs w:val="24"/>
        </w:rPr>
        <w:t xml:space="preserve">: </w:t>
      </w:r>
    </w:p>
    <w:p w14:paraId="00000002"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Professor of Human Nutrition </w:t>
      </w:r>
    </w:p>
    <w:p w14:paraId="00000003" w14:textId="77777777" w:rsidR="008A6962" w:rsidRDefault="00881C7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w:t>
      </w:r>
    </w:p>
    <w:p w14:paraId="00000004" w14:textId="77777777" w:rsidR="008A6962" w:rsidRDefault="00881C78">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Orono</w:t>
      </w:r>
      <w:proofErr w:type="spellEnd"/>
    </w:p>
    <w:p w14:paraId="00000005"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w:t>
      </w:r>
    </w:p>
    <w:p w14:paraId="00000006"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Food and Agriculture - OSFA</w:t>
      </w:r>
    </w:p>
    <w:p w14:paraId="00000007"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Bargaining Unit</w:t>
      </w:r>
      <w:r>
        <w:rPr>
          <w:rFonts w:ascii="Times New Roman" w:eastAsia="Times New Roman" w:hAnsi="Times New Roman" w:cs="Times New Roman"/>
          <w:sz w:val="24"/>
          <w:szCs w:val="24"/>
        </w:rPr>
        <w:t xml:space="preserve">: </w:t>
      </w:r>
    </w:p>
    <w:p w14:paraId="00000008"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AFUM </w:t>
      </w:r>
    </w:p>
    <w:p w14:paraId="00000009" w14:textId="77777777" w:rsidR="008A6962" w:rsidRDefault="00881C7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Salary Band/Wage Band:</w:t>
      </w:r>
    </w:p>
    <w:p w14:paraId="0000000A"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000000B"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Statement of the Job:</w:t>
      </w:r>
    </w:p>
    <w:p w14:paraId="0000000C"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of Food and Agriculture at the University of Maine seeks applicants for a full-time, academic-year, tenure-track, Assistant Professor </w:t>
      </w:r>
      <w:proofErr w:type="gramStart"/>
      <w:r>
        <w:rPr>
          <w:rFonts w:ascii="Times New Roman" w:eastAsia="Times New Roman" w:hAnsi="Times New Roman" w:cs="Times New Roman"/>
          <w:sz w:val="24"/>
          <w:szCs w:val="24"/>
        </w:rPr>
        <w:t>position</w:t>
      </w:r>
      <w:proofErr w:type="gramEnd"/>
      <w:r>
        <w:rPr>
          <w:rFonts w:ascii="Times New Roman" w:eastAsia="Times New Roman" w:hAnsi="Times New Roman" w:cs="Times New Roman"/>
          <w:sz w:val="24"/>
          <w:szCs w:val="24"/>
        </w:rPr>
        <w:t xml:space="preserve"> in the program area of Food Science and Human Nutrition (FSN).  The candidate will teach and advise in</w:t>
      </w:r>
      <w:r>
        <w:rPr>
          <w:rFonts w:ascii="Times New Roman" w:eastAsia="Times New Roman" w:hAnsi="Times New Roman" w:cs="Times New Roman"/>
          <w:sz w:val="24"/>
          <w:szCs w:val="24"/>
        </w:rPr>
        <w:t xml:space="preserve"> the undergraduate and graduate nutrition programs, and establish an independent, externally-funded research program in human nutritional biochemistry.  This is a 50% research and 50% teaching position.  </w:t>
      </w:r>
    </w:p>
    <w:p w14:paraId="0000000D" w14:textId="77777777" w:rsidR="008A6962" w:rsidRDefault="008A6962">
      <w:pPr>
        <w:spacing w:line="360" w:lineRule="auto"/>
        <w:rPr>
          <w:rFonts w:ascii="Times New Roman" w:eastAsia="Times New Roman" w:hAnsi="Times New Roman" w:cs="Times New Roman"/>
          <w:sz w:val="24"/>
          <w:szCs w:val="24"/>
        </w:rPr>
      </w:pPr>
    </w:p>
    <w:p w14:paraId="0000000E"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teaching responsibilities include FSN </w:t>
      </w:r>
      <w:r>
        <w:rPr>
          <w:rFonts w:ascii="Times New Roman" w:eastAsia="Times New Roman" w:hAnsi="Times New Roman" w:cs="Times New Roman"/>
          <w:sz w:val="24"/>
          <w:szCs w:val="24"/>
        </w:rPr>
        <w:t>410 Human Nutrition and Metabolism every year at the undergraduate level.  Graduate teaching includes a one-credit graduate seminar, FSN 571 Technical Presentations, each year, a course in science communications, and developing a graduate course in the can</w:t>
      </w:r>
      <w:r>
        <w:rPr>
          <w:rFonts w:ascii="Times New Roman" w:eastAsia="Times New Roman" w:hAnsi="Times New Roman" w:cs="Times New Roman"/>
          <w:sz w:val="24"/>
          <w:szCs w:val="24"/>
        </w:rPr>
        <w:t xml:space="preserve">didate’s area of expertise.  </w:t>
      </w:r>
      <w:r>
        <w:rPr>
          <w:rFonts w:ascii="Times New Roman" w:eastAsia="Times New Roman" w:hAnsi="Times New Roman" w:cs="Times New Roman"/>
          <w:color w:val="222222"/>
          <w:sz w:val="24"/>
          <w:szCs w:val="24"/>
          <w:highlight w:val="white"/>
        </w:rPr>
        <w:t xml:space="preserve">Initial teaching load will average 9 credits per year.  Future courses may change based on School needs and faculty expertise.  </w:t>
      </w:r>
      <w:r>
        <w:rPr>
          <w:rFonts w:ascii="Times New Roman" w:eastAsia="Times New Roman" w:hAnsi="Times New Roman" w:cs="Times New Roman"/>
          <w:sz w:val="24"/>
          <w:szCs w:val="24"/>
        </w:rPr>
        <w:t>In addition the successful candidate will be expected to advise FSN undergraduate majors, support u</w:t>
      </w:r>
      <w:r>
        <w:rPr>
          <w:rFonts w:ascii="Times New Roman" w:eastAsia="Times New Roman" w:hAnsi="Times New Roman" w:cs="Times New Roman"/>
          <w:sz w:val="24"/>
          <w:szCs w:val="24"/>
        </w:rPr>
        <w:t xml:space="preserve">ndergraduate research and honors thesis projects, and both recruit and advise graduate students.  </w:t>
      </w:r>
    </w:p>
    <w:p w14:paraId="0000000F" w14:textId="77777777" w:rsidR="008A6962" w:rsidRDefault="008A6962">
      <w:pPr>
        <w:spacing w:line="360" w:lineRule="auto"/>
        <w:rPr>
          <w:rFonts w:ascii="Times New Roman" w:eastAsia="Times New Roman" w:hAnsi="Times New Roman" w:cs="Times New Roman"/>
          <w:sz w:val="24"/>
          <w:szCs w:val="24"/>
        </w:rPr>
      </w:pPr>
    </w:p>
    <w:p w14:paraId="00000010"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The faculty member will conduct research in Nutritional Biochemistry, Molecular Nutrition, and/or Nutrigenomics, focused on translational research to improv</w:t>
      </w:r>
      <w:r>
        <w:rPr>
          <w:rFonts w:ascii="Times New Roman" w:eastAsia="Times New Roman" w:hAnsi="Times New Roman" w:cs="Times New Roman"/>
          <w:color w:val="222222"/>
          <w:sz w:val="24"/>
          <w:szCs w:val="24"/>
          <w:highlight w:val="white"/>
        </w:rPr>
        <w:t xml:space="preserve">e human health, especially in Maine’s population.  Applicants are expected to build a robust externally-funded research program and create collaborations within the School, with Cooperative Extension, Graduate School of Biomedical Science and Engineering, </w:t>
      </w:r>
      <w:r>
        <w:rPr>
          <w:rFonts w:ascii="Times New Roman" w:eastAsia="Times New Roman" w:hAnsi="Times New Roman" w:cs="Times New Roman"/>
          <w:color w:val="222222"/>
          <w:sz w:val="24"/>
          <w:szCs w:val="24"/>
          <w:highlight w:val="white"/>
        </w:rPr>
        <w:t xml:space="preserve">and other units across campus, and with other </w:t>
      </w:r>
      <w:r>
        <w:rPr>
          <w:rFonts w:ascii="Times New Roman" w:eastAsia="Times New Roman" w:hAnsi="Times New Roman" w:cs="Times New Roman"/>
          <w:color w:val="222222"/>
          <w:sz w:val="24"/>
          <w:szCs w:val="24"/>
          <w:highlight w:val="white"/>
        </w:rPr>
        <w:lastRenderedPageBreak/>
        <w:t>institutions such as Jackson Laboratory, Maine Medical Center Research Institute, the medical community in Maine, local farmers, and food producers.</w:t>
      </w:r>
    </w:p>
    <w:p w14:paraId="00000011" w14:textId="77777777" w:rsidR="008A6962" w:rsidRDefault="008A6962">
      <w:pPr>
        <w:spacing w:line="360" w:lineRule="auto"/>
        <w:rPr>
          <w:rFonts w:ascii="Times New Roman" w:eastAsia="Times New Roman" w:hAnsi="Times New Roman" w:cs="Times New Roman"/>
          <w:sz w:val="24"/>
          <w:szCs w:val="24"/>
        </w:rPr>
      </w:pPr>
    </w:p>
    <w:p w14:paraId="00000012"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 School of Food and Agriculture offers a B.S. degree prog</w:t>
      </w:r>
      <w:r>
        <w:rPr>
          <w:rFonts w:ascii="Times New Roman" w:eastAsia="Times New Roman" w:hAnsi="Times New Roman" w:cs="Times New Roman"/>
          <w:color w:val="222222"/>
          <w:sz w:val="24"/>
          <w:szCs w:val="24"/>
        </w:rPr>
        <w:t xml:space="preserve">ram in Food Science and Human Nutrition with three concentrations, of which the Human Nutrition and Dietetics option is accredited by the Accreditation Council for Education in Nutrition and Dietetics (ACEND) and the Food Science concentration is approved </w:t>
      </w:r>
      <w:r>
        <w:rPr>
          <w:rFonts w:ascii="Times New Roman" w:eastAsia="Times New Roman" w:hAnsi="Times New Roman" w:cs="Times New Roman"/>
          <w:color w:val="222222"/>
          <w:sz w:val="24"/>
          <w:szCs w:val="24"/>
        </w:rPr>
        <w:t xml:space="preserve">by the Institute of Food Technologists. </w:t>
      </w:r>
      <w:r>
        <w:rPr>
          <w:rFonts w:ascii="Times New Roman" w:eastAsia="Times New Roman" w:hAnsi="Times New Roman" w:cs="Times New Roman"/>
          <w:sz w:val="24"/>
          <w:szCs w:val="24"/>
        </w:rPr>
        <w:t xml:space="preserve"> The program also offers a M.S. degree in Food Science and Human Nutrition and a Ph.D. in Food and Nutrition Sciences.  The wide range of academic interests in the School offers new faculty many opportunities to part</w:t>
      </w:r>
      <w:r>
        <w:rPr>
          <w:rFonts w:ascii="Times New Roman" w:eastAsia="Times New Roman" w:hAnsi="Times New Roman" w:cs="Times New Roman"/>
          <w:sz w:val="24"/>
          <w:szCs w:val="24"/>
        </w:rPr>
        <w:t>icipate in and develop multidisciplinary research and teaching teams.  The School of Food and Agriculture (</w:t>
      </w:r>
      <w:hyperlink r:id="rId6">
        <w:r>
          <w:rPr>
            <w:rFonts w:ascii="Times New Roman" w:eastAsia="Times New Roman" w:hAnsi="Times New Roman" w:cs="Times New Roman"/>
            <w:color w:val="0000FF"/>
            <w:sz w:val="24"/>
            <w:szCs w:val="24"/>
            <w:u w:val="single"/>
          </w:rPr>
          <w:t>http://www.umaine.edu/foodandagriculture/</w:t>
        </w:r>
      </w:hyperlink>
      <w:r>
        <w:rPr>
          <w:rFonts w:ascii="Times New Roman" w:eastAsia="Times New Roman" w:hAnsi="Times New Roman" w:cs="Times New Roman"/>
          <w:sz w:val="24"/>
          <w:szCs w:val="24"/>
        </w:rPr>
        <w:t>) has 35 faculty members, over 450 undergraduat</w:t>
      </w:r>
      <w:r>
        <w:rPr>
          <w:rFonts w:ascii="Times New Roman" w:eastAsia="Times New Roman" w:hAnsi="Times New Roman" w:cs="Times New Roman"/>
          <w:sz w:val="24"/>
          <w:szCs w:val="24"/>
        </w:rPr>
        <w:t xml:space="preserve">e students, and approximately 50 graduate students.  In addition to FSN, the School offers B.S. degrees in Animal and Veterinary Sciences, Environmental Horticulture, and Sustainable Agriculture, as well as graduate degrees in a range of programs.  School </w:t>
      </w:r>
      <w:r>
        <w:rPr>
          <w:rFonts w:ascii="Times New Roman" w:eastAsia="Times New Roman" w:hAnsi="Times New Roman" w:cs="Times New Roman"/>
          <w:sz w:val="24"/>
          <w:szCs w:val="24"/>
        </w:rPr>
        <w:t>research efforts focus on the role of diet and nutrients in health promotion and disease prevention, sustainable production of plants and animals, and safety and production issues important to food and agriculture-related businesses.   </w:t>
      </w:r>
    </w:p>
    <w:p w14:paraId="0000001C" w14:textId="07B15428" w:rsidR="008A6962" w:rsidRDefault="008A6962">
      <w:pPr>
        <w:spacing w:line="360" w:lineRule="auto"/>
        <w:rPr>
          <w:rFonts w:ascii="Times New Roman" w:eastAsia="Times New Roman" w:hAnsi="Times New Roman" w:cs="Times New Roman"/>
          <w:color w:val="000000"/>
          <w:sz w:val="24"/>
          <w:szCs w:val="24"/>
        </w:rPr>
      </w:pPr>
    </w:p>
    <w:p w14:paraId="0000001D" w14:textId="77777777" w:rsidR="008A6962" w:rsidRDefault="00881C78">
      <w:pPr>
        <w:spacing w:line="36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Qualifications</w:t>
      </w:r>
      <w:r>
        <w:rPr>
          <w:rFonts w:ascii="Times New Roman" w:eastAsia="Times New Roman" w:hAnsi="Times New Roman" w:cs="Times New Roman"/>
          <w:sz w:val="24"/>
          <w:szCs w:val="24"/>
        </w:rPr>
        <w:t xml:space="preserve">: </w:t>
      </w:r>
    </w:p>
    <w:p w14:paraId="0000001E" w14:textId="77777777" w:rsidR="008A6962" w:rsidRDefault="00881C78">
      <w:pPr>
        <w:spacing w:line="360" w:lineRule="auto"/>
        <w:rPr>
          <w:rFonts w:ascii="Times New Roman" w:eastAsia="Times New Roman" w:hAnsi="Times New Roman" w:cs="Times New Roman"/>
          <w:b/>
          <w:sz w:val="24"/>
          <w:szCs w:val="24"/>
        </w:rPr>
      </w:pPr>
      <w:bookmarkStart w:id="1" w:name="_heading=h.1fob9te" w:colFirst="0" w:colLast="0"/>
      <w:bookmarkEnd w:id="1"/>
      <w:r>
        <w:rPr>
          <w:rFonts w:ascii="Times New Roman" w:eastAsia="Times New Roman" w:hAnsi="Times New Roman" w:cs="Times New Roman"/>
          <w:b/>
          <w:sz w:val="24"/>
          <w:szCs w:val="24"/>
        </w:rPr>
        <w:t>Required:</w:t>
      </w:r>
    </w:p>
    <w:p w14:paraId="0000001F" w14:textId="77777777" w:rsidR="008A6962" w:rsidRDefault="00881C78">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PhD or equivalent in Nutrition or closely-related field.</w:t>
      </w:r>
      <w:r>
        <w:rPr>
          <w:rFonts w:ascii="Times New Roman" w:eastAsia="Times New Roman" w:hAnsi="Times New Roman" w:cs="Times New Roman"/>
          <w:color w:val="222222"/>
          <w:sz w:val="24"/>
          <w:szCs w:val="24"/>
        </w:rPr>
        <w:t xml:space="preserve">  </w:t>
      </w:r>
    </w:p>
    <w:p w14:paraId="00000020" w14:textId="77777777" w:rsidR="008A6962" w:rsidRDefault="00881C78">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Documented experience in Nutritional Biochemistry, Molecular Nutrition or Nutrigenomics focusing on translational research to improve human health.  </w:t>
      </w:r>
    </w:p>
    <w:p w14:paraId="00000021" w14:textId="77777777" w:rsidR="008A6962" w:rsidRDefault="00881C7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Preferred:</w:t>
      </w:r>
    </w:p>
    <w:p w14:paraId="00000022" w14:textId="77777777" w:rsidR="008A6962" w:rsidRDefault="00881C78">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Postgraduate research experience success with external funding is highly desirable.  </w:t>
      </w:r>
    </w:p>
    <w:p w14:paraId="00000023" w14:textId="77777777" w:rsidR="008A6962" w:rsidRDefault="00881C78">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w:t>
      </w:r>
      <w:r>
        <w:rPr>
          <w:rFonts w:ascii="Times New Roman" w:eastAsia="Times New Roman" w:hAnsi="Times New Roman" w:cs="Times New Roman"/>
          <w:color w:val="000000"/>
          <w:sz w:val="24"/>
          <w:szCs w:val="24"/>
        </w:rPr>
        <w:t xml:space="preserve"> teaching skills are expected.  </w:t>
      </w:r>
    </w:p>
    <w:p w14:paraId="00000024" w14:textId="77777777" w:rsidR="008A6962" w:rsidRDefault="00881C78">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RDN credential preferred.</w:t>
      </w:r>
    </w:p>
    <w:p w14:paraId="0000003C" w14:textId="66CBCA54" w:rsidR="008A6962" w:rsidRDefault="00881C78" w:rsidP="00881C78">
      <w:pPr>
        <w:spacing w:before="280"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Information:</w:t>
      </w:r>
    </w:p>
    <w:p w14:paraId="0000003D" w14:textId="77777777"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Length</w:t>
      </w:r>
      <w:r>
        <w:rPr>
          <w:rFonts w:ascii="Times New Roman" w:eastAsia="Times New Roman" w:hAnsi="Times New Roman" w:cs="Times New Roman"/>
          <w:sz w:val="24"/>
          <w:szCs w:val="24"/>
        </w:rPr>
        <w:t xml:space="preserve">: </w:t>
      </w:r>
    </w:p>
    <w:p w14:paraId="00000041" w14:textId="485ADF31" w:rsidR="008A6962" w:rsidRDefault="00881C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Year (Sept-May) </w:t>
      </w:r>
      <w:bookmarkStart w:id="2" w:name="_GoBack"/>
      <w:bookmarkEnd w:id="2"/>
    </w:p>
    <w:sectPr w:rsidR="008A69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070C"/>
    <w:multiLevelType w:val="multilevel"/>
    <w:tmpl w:val="FE0E0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4F2903"/>
    <w:multiLevelType w:val="multilevel"/>
    <w:tmpl w:val="041E7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62"/>
    <w:rsid w:val="00881C78"/>
    <w:rsid w:val="008A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43D2"/>
  <w15:docId w15:val="{F16FD9AB-E1C3-498F-8C8C-970835C4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1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EA6"/>
    <w:rPr>
      <w:rFonts w:ascii="Segoe UI" w:hAnsi="Segoe UI" w:cs="Segoe UI"/>
      <w:sz w:val="18"/>
      <w:szCs w:val="18"/>
    </w:rPr>
  </w:style>
  <w:style w:type="paragraph" w:styleId="NormalWeb">
    <w:name w:val="Normal (Web)"/>
    <w:basedOn w:val="Normal"/>
    <w:uiPriority w:val="99"/>
    <w:unhideWhenUsed/>
    <w:rsid w:val="0007680D"/>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7680D"/>
    <w:rPr>
      <w:color w:val="0000FF"/>
      <w:u w:val="single"/>
    </w:rPr>
  </w:style>
  <w:style w:type="paragraph" w:styleId="ListParagraph">
    <w:name w:val="List Paragraph"/>
    <w:basedOn w:val="Normal"/>
    <w:uiPriority w:val="34"/>
    <w:qFormat/>
    <w:rsid w:val="004E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aine.edu/foodandagricultu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a447VDrEEboN5niuHMKdYSxLg==">AMUW2mWuOa7ZxzNFJrs9asABNz09f5ymy27aUW0SCcYc3DwAcYgY9BfmTp0AcGhv93/FsfHxzrqNrgHZZVdmlHFycfamDILmpObSdWTIHtZHh9MrMo4Sh7e8tpMeTKgNiHdyWaPkxb9t068YAwJyPQsoeZKzhwTM1A==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 Sullivan</dc:creator>
  <cp:lastModifiedBy>Melissa Richmond</cp:lastModifiedBy>
  <cp:revision>2</cp:revision>
  <dcterms:created xsi:type="dcterms:W3CDTF">2021-02-05T20:43:00Z</dcterms:created>
  <dcterms:modified xsi:type="dcterms:W3CDTF">2021-02-05T20:43:00Z</dcterms:modified>
</cp:coreProperties>
</file>